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9" w:name="processo-n.º-123424.5t8lsb"/>
    <w:p>
      <w:pPr>
        <w:pStyle w:val="Heading2"/>
      </w:pPr>
      <w:r>
        <w:t xml:space="preserve">Processo n.º 1234/24.5T8LSB</w:t>
      </w:r>
    </w:p>
    <w:p>
      <w:pPr>
        <w:pStyle w:val="FirstParagraph"/>
      </w:pPr>
      <w:r>
        <w:rPr>
          <w:b/>
          <w:bCs/>
        </w:rPr>
        <w:t xml:space="preserve">Vara Cível da Comarca de Lisboa</w:t>
      </w:r>
    </w:p>
    <w:p>
      <w:pPr>
        <w:pStyle w:val="BodyText"/>
      </w:pPr>
      <w:r>
        <w:rPr>
          <w:b/>
          <w:bCs/>
        </w:rPr>
        <w:t xml:space="preserve">Autor:</w:t>
      </w:r>
      <w:r>
        <w:t xml:space="preserve"> </w:t>
      </w:r>
      <w:r>
        <w:t xml:space="preserve">Empresa de Arrendamento Comercial, Lda., NIF 504 123 456, com sede na Rua das Flores, 45, 1.º Esq., 1050‑156 Lisboa, representada por seu mandatário</w:t>
      </w:r>
      <w:r>
        <w:t xml:space="preserve"> </w:t>
      </w:r>
      <w:r>
        <w:rPr>
          <w:b/>
          <w:bCs/>
        </w:rPr>
        <w:t xml:space="preserve">Dr. Ana Martins</w:t>
      </w:r>
      <w:r>
        <w:t xml:space="preserve">, OAB/LS 12345, e por</w:t>
      </w:r>
      <w:r>
        <w:t xml:space="preserve"> </w:t>
      </w:r>
      <w:r>
        <w:rPr>
          <w:b/>
          <w:bCs/>
        </w:rPr>
        <w:t xml:space="preserve">Dr. Luís Pereira</w:t>
      </w:r>
      <w:r>
        <w:t xml:space="preserve">, OAB/LS 67890.</w:t>
      </w:r>
    </w:p>
    <w:p>
      <w:pPr>
        <w:pStyle w:val="BodyText"/>
      </w:pPr>
      <w:r>
        <w:rPr>
          <w:b/>
          <w:bCs/>
        </w:rPr>
        <w:t xml:space="preserve">Réu:</w:t>
      </w:r>
      <w:r>
        <w:t xml:space="preserve"> </w:t>
      </w:r>
      <w:r>
        <w:t xml:space="preserve">Sr. João da Silva, NIF 123 456 789, residente na Avenida da República, 112, 2.º Dto., 1050‑191 Lisboa.</w:t>
      </w:r>
    </w:p>
    <w:p>
      <w:r>
        <w:pict>
          <v:rect style="width:0;height:1.5pt" o:hralign="center" o:hrstd="t" o:hr="t"/>
        </w:pict>
      </w:r>
    </w:p>
    <w:bookmarkEnd w:id="9"/>
    <w:bookmarkStart w:id="15" w:name="pedido-de-despejo-definitivo"/>
    <w:p>
      <w:pPr>
        <w:pStyle w:val="Heading1"/>
      </w:pPr>
      <w:r>
        <w:rPr>
          <w:b/>
          <w:bCs/>
        </w:rPr>
        <w:t xml:space="preserve">Pedido de Despejo Definitivo</w:t>
      </w:r>
    </w:p>
    <w:p>
      <w:pPr>
        <w:pStyle w:val="FirstParagraph"/>
      </w:pPr>
      <w:r>
        <w:t xml:space="preserve">Lisboa, 15 de março de 2024</w:t>
      </w:r>
    </w:p>
    <w:p>
      <w:r>
        <w:pict>
          <v:rect style="width:0;height:1.5pt" o:hralign="center" o:hrstd="t" o:hr="t"/>
        </w:pict>
      </w:r>
    </w:p>
    <w:bookmarkStart w:id="10" w:name="i-dos-factos"/>
    <w:p>
      <w:pPr>
        <w:pStyle w:val="Heading3"/>
      </w:pPr>
      <w:r>
        <w:t xml:space="preserve">I – Dos Factos</w:t>
      </w:r>
    </w:p>
    <w:p>
      <w:pPr>
        <w:numPr>
          <w:ilvl w:val="0"/>
          <w:numId w:val="1001"/>
        </w:numPr>
      </w:pPr>
      <w:r>
        <w:rPr>
          <w:b/>
          <w:bCs/>
        </w:rPr>
        <w:t xml:space="preserve">Contrato de Arrendamento Comercial</w:t>
      </w:r>
      <w:r>
        <w:t xml:space="preserve"> </w:t>
      </w:r>
      <w:r>
        <w:t xml:space="preserve">– As partes celebraram, em 10 de janeiro de 2020, contrato de arrendamento comercial (contrato n.º 2020/00123) relativo ao estabelecimento comercial sito na Rua da Prata, 78, 2.º Esq., 1200‑123 Lisboa, com prazo de duração de cinco (5) anos, renovável nos termos do artigo 1090.º do Código Civil. O valor da renda mensal foi fixado em</w:t>
      </w:r>
      <w:r>
        <w:t xml:space="preserve"> </w:t>
      </w:r>
      <w:r>
        <w:rPr>
          <w:b/>
          <w:bCs/>
        </w:rPr>
        <w:t xml:space="preserve">€ 2 500,00</w:t>
      </w:r>
      <w:r>
        <w:t xml:space="preserve"> </w:t>
      </w:r>
      <w:r>
        <w:t xml:space="preserve">(dois mil e quinhentos euros), a pagar até ao dia 5 de cada mês, por transferência bancária para o IBAN PT50 1234 5678 9012 3456 7890 123.</w:t>
      </w:r>
    </w:p>
    <w:p>
      <w:pPr>
        <w:numPr>
          <w:ilvl w:val="0"/>
          <w:numId w:val="1001"/>
        </w:numPr>
      </w:pPr>
      <w:r>
        <w:rPr>
          <w:b/>
          <w:bCs/>
        </w:rPr>
        <w:t xml:space="preserve">Incumprimento de Pagamento</w:t>
      </w:r>
      <w:r>
        <w:t xml:space="preserve"> </w:t>
      </w:r>
      <w:r>
        <w:t xml:space="preserve">– O réu deixou de pagar as rendas referentes aos meses de agosto a março de 2024, totalizando oito (8) meses em dívida, conforme demonstra a tabela abaixo:</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Mês</w:t>
            </w:r>
          </w:p>
        </w:tc>
        <w:tc>
          <w:tcPr/>
          <w:p>
            <w:pPr>
              <w:pStyle w:val="Compact"/>
            </w:pPr>
            <w:r>
              <w:t xml:space="preserve">Valor da Renda (€)</w:t>
            </w:r>
          </w:p>
        </w:tc>
        <w:tc>
          <w:tcPr/>
          <w:p>
            <w:pPr>
              <w:pStyle w:val="Compact"/>
            </w:pPr>
            <w:r>
              <w:t xml:space="preserve">Valor em Dívida (€)</w:t>
            </w:r>
          </w:p>
        </w:tc>
      </w:tr>
      <w:tr>
        <w:tc>
          <w:tcPr/>
          <w:p>
            <w:pPr>
              <w:pStyle w:val="Compact"/>
            </w:pPr>
            <w:r>
              <w:t xml:space="preserve">Agosto/2023</w:t>
            </w:r>
          </w:p>
        </w:tc>
        <w:tc>
          <w:tcPr/>
          <w:p>
            <w:pPr>
              <w:pStyle w:val="Compact"/>
            </w:pPr>
            <w:r>
              <w:t xml:space="preserve">2 500,00</w:t>
            </w:r>
          </w:p>
        </w:tc>
        <w:tc>
          <w:tcPr/>
          <w:p>
            <w:pPr>
              <w:pStyle w:val="Compact"/>
            </w:pPr>
            <w:r>
              <w:t xml:space="preserve">2 500,00</w:t>
            </w:r>
          </w:p>
        </w:tc>
      </w:tr>
      <w:tr>
        <w:tc>
          <w:tcPr/>
          <w:p>
            <w:pPr>
              <w:pStyle w:val="Compact"/>
            </w:pPr>
            <w:r>
              <w:t xml:space="preserve">Setembro/2023</w:t>
            </w:r>
          </w:p>
        </w:tc>
        <w:tc>
          <w:tcPr/>
          <w:p>
            <w:pPr>
              <w:pStyle w:val="Compact"/>
            </w:pPr>
            <w:r>
              <w:t xml:space="preserve">2 500,00</w:t>
            </w:r>
          </w:p>
        </w:tc>
        <w:tc>
          <w:tcPr/>
          <w:p>
            <w:pPr>
              <w:pStyle w:val="Compact"/>
            </w:pPr>
            <w:r>
              <w:t xml:space="preserve">2 500,00</w:t>
            </w:r>
          </w:p>
        </w:tc>
      </w:tr>
      <w:tr>
        <w:tc>
          <w:tcPr/>
          <w:p>
            <w:pPr>
              <w:pStyle w:val="Compact"/>
            </w:pPr>
            <w:r>
              <w:t xml:space="preserve">Outubro/2023</w:t>
            </w:r>
          </w:p>
        </w:tc>
        <w:tc>
          <w:tcPr/>
          <w:p>
            <w:pPr>
              <w:pStyle w:val="Compact"/>
            </w:pPr>
            <w:r>
              <w:t xml:space="preserve">2 500,00</w:t>
            </w:r>
          </w:p>
        </w:tc>
        <w:tc>
          <w:tcPr/>
          <w:p>
            <w:pPr>
              <w:pStyle w:val="Compact"/>
            </w:pPr>
            <w:r>
              <w:t xml:space="preserve">2 500,00</w:t>
            </w:r>
          </w:p>
        </w:tc>
      </w:tr>
      <w:tr>
        <w:tc>
          <w:tcPr/>
          <w:p>
            <w:pPr>
              <w:pStyle w:val="Compact"/>
            </w:pPr>
            <w:r>
              <w:t xml:space="preserve">Novembro/2023</w:t>
            </w:r>
          </w:p>
        </w:tc>
        <w:tc>
          <w:tcPr/>
          <w:p>
            <w:pPr>
              <w:pStyle w:val="Compact"/>
            </w:pPr>
            <w:r>
              <w:t xml:space="preserve">2 500,00</w:t>
            </w:r>
          </w:p>
        </w:tc>
        <w:tc>
          <w:tcPr/>
          <w:p>
            <w:pPr>
              <w:pStyle w:val="Compact"/>
            </w:pPr>
            <w:r>
              <w:t xml:space="preserve">2 500,00</w:t>
            </w:r>
          </w:p>
        </w:tc>
      </w:tr>
      <w:tr>
        <w:tc>
          <w:tcPr/>
          <w:p>
            <w:pPr>
              <w:pStyle w:val="Compact"/>
            </w:pPr>
            <w:r>
              <w:t xml:space="preserve">Dezembro/2023</w:t>
            </w:r>
          </w:p>
        </w:tc>
        <w:tc>
          <w:tcPr/>
          <w:p>
            <w:pPr>
              <w:pStyle w:val="Compact"/>
            </w:pPr>
            <w:r>
              <w:t xml:space="preserve">2 500,00</w:t>
            </w:r>
          </w:p>
        </w:tc>
        <w:tc>
          <w:tcPr/>
          <w:p>
            <w:pPr>
              <w:pStyle w:val="Compact"/>
            </w:pPr>
            <w:r>
              <w:t xml:space="preserve">2 500,00</w:t>
            </w:r>
          </w:p>
        </w:tc>
      </w:tr>
      <w:tr>
        <w:tc>
          <w:tcPr/>
          <w:p>
            <w:pPr>
              <w:pStyle w:val="Compact"/>
            </w:pPr>
            <w:r>
              <w:t xml:space="preserve">Janeiro/2024</w:t>
            </w:r>
          </w:p>
        </w:tc>
        <w:tc>
          <w:tcPr/>
          <w:p>
            <w:pPr>
              <w:pStyle w:val="Compact"/>
            </w:pPr>
            <w:r>
              <w:t xml:space="preserve">2 500,00</w:t>
            </w:r>
          </w:p>
        </w:tc>
        <w:tc>
          <w:tcPr/>
          <w:p>
            <w:pPr>
              <w:pStyle w:val="Compact"/>
            </w:pPr>
            <w:r>
              <w:t xml:space="preserve">2 500,00</w:t>
            </w:r>
          </w:p>
        </w:tc>
      </w:tr>
      <w:tr>
        <w:tc>
          <w:tcPr/>
          <w:p>
            <w:pPr>
              <w:pStyle w:val="Compact"/>
            </w:pPr>
            <w:r>
              <w:t xml:space="preserve">Fevereiro/2024</w:t>
            </w:r>
          </w:p>
        </w:tc>
        <w:tc>
          <w:tcPr/>
          <w:p>
            <w:pPr>
              <w:pStyle w:val="Compact"/>
            </w:pPr>
            <w:r>
              <w:t xml:space="preserve">2 500,00</w:t>
            </w:r>
          </w:p>
        </w:tc>
        <w:tc>
          <w:tcPr/>
          <w:p>
            <w:pPr>
              <w:pStyle w:val="Compact"/>
            </w:pPr>
            <w:r>
              <w:t xml:space="preserve">2 500,00</w:t>
            </w:r>
          </w:p>
        </w:tc>
      </w:tr>
      <w:tr>
        <w:tc>
          <w:tcPr/>
          <w:p>
            <w:pPr>
              <w:pStyle w:val="Compact"/>
            </w:pPr>
            <w:r>
              <w:t xml:space="preserve">Março/2024</w:t>
            </w:r>
          </w:p>
        </w:tc>
        <w:tc>
          <w:tcPr/>
          <w:p>
            <w:pPr>
              <w:pStyle w:val="Compact"/>
            </w:pPr>
            <w:r>
              <w:t xml:space="preserve">2 500,00</w:t>
            </w:r>
          </w:p>
        </w:tc>
        <w:tc>
          <w:tcPr/>
          <w:p>
            <w:pPr>
              <w:pStyle w:val="Compact"/>
            </w:pPr>
            <w:r>
              <w:t xml:space="preserve">2 500,00</w:t>
            </w:r>
          </w:p>
        </w:tc>
      </w:tr>
      <w:tr>
        <w:tc>
          <w:tcPr/>
          <w:p>
            <w:pPr>
              <w:pStyle w:val="Compact"/>
            </w:pPr>
            <w:r>
              <w:rPr>
                <w:b/>
                <w:bCs/>
              </w:rPr>
              <w:t xml:space="preserve">Total</w:t>
            </w:r>
          </w:p>
        </w:tc>
        <w:tc>
          <w:tcPr/>
          <w:p>
            <w:pPr>
              <w:pStyle w:val="Compact"/>
            </w:pPr>
            <w:r>
              <w:t xml:space="preserve">—</w:t>
            </w:r>
          </w:p>
        </w:tc>
        <w:tc>
          <w:tcPr/>
          <w:p>
            <w:pPr>
              <w:pStyle w:val="Compact"/>
            </w:pPr>
            <w:r>
              <w:rPr>
                <w:b/>
                <w:bCs/>
              </w:rPr>
              <w:t xml:space="preserve">€ 20 000,00</w:t>
            </w:r>
          </w:p>
        </w:tc>
      </w:tr>
    </w:tbl>
    <w:p>
      <w:pPr>
        <w:numPr>
          <w:ilvl w:val="0"/>
          <w:numId w:val="1002"/>
        </w:numPr>
      </w:pPr>
      <w:r>
        <w:rPr>
          <w:b/>
          <w:bCs/>
        </w:rPr>
        <w:t xml:space="preserve">Caducidade do Contrato</w:t>
      </w:r>
      <w:r>
        <w:t xml:space="preserve"> </w:t>
      </w:r>
      <w:r>
        <w:t xml:space="preserve">– Nos termos do artigo 1089.º, n.º 1, alínea b) do Código Civil, o incumprimento de duas (2) rendas consecutivas autoriza a resolução do contrato por caducidade. O réu, ao permanecer em débito por oito (8) meses, reforça a hipótese de caducidade automática.</w:t>
      </w:r>
    </w:p>
    <w:p>
      <w:pPr>
        <w:numPr>
          <w:ilvl w:val="0"/>
          <w:numId w:val="1002"/>
        </w:numPr>
      </w:pPr>
      <w:r>
        <w:rPr>
          <w:b/>
          <w:bCs/>
        </w:rPr>
        <w:t xml:space="preserve">Obras Não Autorizadas</w:t>
      </w:r>
      <w:r>
        <w:t xml:space="preserve"> </w:t>
      </w:r>
      <w:r>
        <w:t xml:space="preserve">– Entre outubro e dezembro de 2023, o réu realizou obras de remodelação interior (instalação de nova iluminação, divisão de espaços e colocação de pavimentos) sem prévia autorização escrita do senhorio, incorrendo em custos de</w:t>
      </w:r>
      <w:r>
        <w:t xml:space="preserve"> </w:t>
      </w:r>
      <w:r>
        <w:rPr>
          <w:b/>
          <w:bCs/>
        </w:rPr>
        <w:t xml:space="preserve">€ 7 500,00</w:t>
      </w:r>
      <w:r>
        <w:t xml:space="preserve">, comprovados por faturas emitidas pela empresa “Construções Lisboa, Lda.” (NIF 504 987 321). Tais obras violam a cláusula quinta do contrato, que obriga o arrendatário a obter consentimento prévio para quaisquer alterações.</w:t>
      </w:r>
    </w:p>
    <w:p>
      <w:pPr>
        <w:numPr>
          <w:ilvl w:val="0"/>
          <w:numId w:val="1002"/>
        </w:numPr>
      </w:pPr>
      <w:r>
        <w:rPr>
          <w:b/>
          <w:bCs/>
        </w:rPr>
        <w:t xml:space="preserve">Notificações</w:t>
      </w:r>
      <w:r>
        <w:t xml:space="preserve"> </w:t>
      </w:r>
      <w:r>
        <w:t xml:space="preserve">– O senhorio enviou duas notificações extrajudiciais (cópias anexas) a 1.º de fevereiro de 2024 e a 10 de fevereiro de 2024, requerendo o pagamento das rendas em atraso e a cessação das obras, sob pena de resolução do contrato. O réu não respondeu nem efetuou qualquer pagamento.</w:t>
      </w:r>
    </w:p>
    <w:p>
      <w:r>
        <w:pict>
          <v:rect style="width:0;height:1.5pt" o:hralign="center" o:hrstd="t" o:hr="t"/>
        </w:pict>
      </w:r>
    </w:p>
    <w:bookmarkEnd w:id="10"/>
    <w:bookmarkStart w:id="11" w:name="ii-do-direito"/>
    <w:p>
      <w:pPr>
        <w:pStyle w:val="Heading3"/>
      </w:pPr>
      <w:r>
        <w:t xml:space="preserve">II – Do Direito</w:t>
      </w:r>
    </w:p>
    <w:p>
      <w:pPr>
        <w:numPr>
          <w:ilvl w:val="0"/>
          <w:numId w:val="1003"/>
        </w:numPr>
      </w:pPr>
      <w:r>
        <w:rPr>
          <w:b/>
          <w:bCs/>
        </w:rPr>
        <w:t xml:space="preserve">Caducidade do Contrato</w:t>
      </w:r>
      <w:r>
        <w:t xml:space="preserve"> </w:t>
      </w:r>
      <w:r>
        <w:t xml:space="preserve">– O artigo 1089.º, n.º 1, alínea b) do Código Civil estabelece que o contrato de arrendamento caduca quando o arrendatário deixa de pagar duas rendas consecutivas. A jurisprudência do Tribunal da Relação de Lisboa (Ac. 1234/21.8TBL) confirma que a caducidade produz efeitos retroativos à data do primeiro incumprimento, permitindo a resolução imediata do contrato.</w:t>
      </w:r>
    </w:p>
    <w:p>
      <w:pPr>
        <w:numPr>
          <w:ilvl w:val="0"/>
          <w:numId w:val="1003"/>
        </w:numPr>
      </w:pPr>
      <w:r>
        <w:rPr>
          <w:b/>
          <w:bCs/>
        </w:rPr>
        <w:t xml:space="preserve">Despejo</w:t>
      </w:r>
      <w:r>
        <w:t xml:space="preserve"> </w:t>
      </w:r>
      <w:r>
        <w:t xml:space="preserve">– Nos termos do artigo 1012.º, n.º 1, alínea a) do Código de Processo Civil, a parte que tem direito à resolução do contrato de arrendamento pode requerer a desocupação do imóvel, mediante sentença de despejo, quando o arrendatário persiste na ocupação sem justo motivo.</w:t>
      </w:r>
    </w:p>
    <w:p>
      <w:pPr>
        <w:numPr>
          <w:ilvl w:val="0"/>
          <w:numId w:val="1003"/>
        </w:numPr>
      </w:pPr>
      <w:r>
        <w:rPr>
          <w:b/>
          <w:bCs/>
        </w:rPr>
        <w:t xml:space="preserve">Cobrança de Rendimentos em Dívida e Juros Moratórios</w:t>
      </w:r>
      <w:r>
        <w:t xml:space="preserve"> </w:t>
      </w:r>
      <w:r>
        <w:t xml:space="preserve">– O artigo 1030.º, n.º 1, do CPC autoriza a condenação do devedor ao pagamento das quantias devidas, acrescidas de juros de mora à taxa legal (8% ao ano) a contar da data de vencimento de cada prestação, nos termos do artigo 408.º do Código Civil.</w:t>
      </w:r>
    </w:p>
    <w:p>
      <w:pPr>
        <w:numPr>
          <w:ilvl w:val="0"/>
          <w:numId w:val="1003"/>
        </w:numPr>
      </w:pPr>
      <w:r>
        <w:rPr>
          <w:b/>
          <w:bCs/>
        </w:rPr>
        <w:t xml:space="preserve">Indemnização por Obras Não Autorizadas</w:t>
      </w:r>
      <w:r>
        <w:t xml:space="preserve"> </w:t>
      </w:r>
      <w:r>
        <w:t xml:space="preserve">– O artigo 1059.º, n.º 2, do Código Civil dispõe que o arrendatário que, sem autorização, realiza obras que alterem a coisa arrendada, fica obrigado a restituir o senhorio pelos prejuízos causados, bem como a reparar eventual dano.</w:t>
      </w:r>
    </w:p>
    <w:p>
      <w:pPr>
        <w:numPr>
          <w:ilvl w:val="0"/>
          <w:numId w:val="1003"/>
        </w:numPr>
      </w:pPr>
      <w:r>
        <w:rPr>
          <w:b/>
          <w:bCs/>
        </w:rPr>
        <w:t xml:space="preserve">Custas e Honorários</w:t>
      </w:r>
      <w:r>
        <w:t xml:space="preserve"> </w:t>
      </w:r>
      <w:r>
        <w:t xml:space="preserve">– O artigo 84.º, n.º 1, da Lei de Honorários de Advogados (Lei n.º 73/2013) permite a condenação do vencido ao pagamento dos honorários sucumbenciais, fixados em 10% do valor da condenação, bem como das custas processuais.</w:t>
      </w:r>
    </w:p>
    <w:p>
      <w:r>
        <w:pict>
          <v:rect style="width:0;height:1.5pt" o:hralign="center" o:hrstd="t" o:hr="t"/>
        </w:pict>
      </w:r>
    </w:p>
    <w:bookmarkEnd w:id="11"/>
    <w:bookmarkStart w:id="12" w:name="iii-dos-pedidos"/>
    <w:p>
      <w:pPr>
        <w:pStyle w:val="Heading3"/>
      </w:pPr>
      <w:r>
        <w:t xml:space="preserve">III – Dos Pedidos</w:t>
      </w:r>
    </w:p>
    <w:p>
      <w:pPr>
        <w:pStyle w:val="FirstParagraph"/>
      </w:pPr>
      <w:r>
        <w:rPr>
          <w:b/>
          <w:bCs/>
        </w:rPr>
        <w:t xml:space="preserve">Nos termos do exposto, requer-se a V. Exa.:</w:t>
      </w:r>
    </w:p>
    <w:tbl>
      <w:tblPr>
        <w:tblStyle w:val="Table"/>
        <w:tblW w:type="pct" w:w="5000"/>
        <w:tblLayout w:type="fixed"/>
        <w:tblLook w:firstRow="1" w:lastRow="0" w:firstColumn="0" w:lastColumn="0" w:noHBand="0" w:noVBand="0" w:val="0020"/>
      </w:tblPr>
      <w:tblGrid>
        <w:gridCol w:w="2640"/>
        <w:gridCol w:w="5280"/>
      </w:tblGrid>
      <w:tr>
        <w:trPr>
          <w:tblHeader w:val="on"/>
        </w:trPr>
        <w:tc>
          <w:tcPr/>
          <w:p>
            <w:pPr>
              <w:pStyle w:val="Compact"/>
            </w:pPr>
            <w:r>
              <w:t xml:space="preserve">Nº</w:t>
            </w:r>
          </w:p>
        </w:tc>
        <w:tc>
          <w:tcPr/>
          <w:p>
            <w:pPr>
              <w:pStyle w:val="Compact"/>
            </w:pPr>
            <w:r>
              <w:t xml:space="preserve">Pedido</w:t>
            </w:r>
          </w:p>
        </w:tc>
      </w:tr>
      <w:tr>
        <w:tc>
          <w:tcPr/>
          <w:p>
            <w:pPr>
              <w:pStyle w:val="Compact"/>
            </w:pPr>
            <w:r>
              <w:t xml:space="preserve">1</w:t>
            </w:r>
          </w:p>
        </w:tc>
        <w:tc>
          <w:tcPr/>
          <w:p>
            <w:pPr>
              <w:pStyle w:val="Compact"/>
            </w:pPr>
            <w:r>
              <w:rPr>
                <w:b/>
                <w:bCs/>
              </w:rPr>
              <w:t xml:space="preserve">A declaração de caducidade</w:t>
            </w:r>
            <w:r>
              <w:t xml:space="preserve"> </w:t>
            </w:r>
            <w:r>
              <w:t xml:space="preserve">do contrato de arrendamento comercial celebrado entre as partes, nos termos do artigo 1089.º, n.º 1, alínea b), do Código Civil;</w:t>
            </w:r>
          </w:p>
        </w:tc>
      </w:tr>
      <w:tr>
        <w:tc>
          <w:tcPr/>
          <w:p>
            <w:pPr>
              <w:pStyle w:val="Compact"/>
            </w:pPr>
            <w:r>
              <w:t xml:space="preserve">2</w:t>
            </w:r>
          </w:p>
        </w:tc>
        <w:tc>
          <w:tcPr/>
          <w:p>
            <w:pPr>
              <w:pStyle w:val="Compact"/>
            </w:pPr>
            <w:r>
              <w:rPr>
                <w:b/>
                <w:bCs/>
              </w:rPr>
              <w:t xml:space="preserve">A condenação do réu ao despejo definitivo</w:t>
            </w:r>
            <w:r>
              <w:t xml:space="preserve"> </w:t>
            </w:r>
            <w:r>
              <w:t xml:space="preserve">do imóvel sito na Rua da Prata, 78, 2.º Esq., 1200‑123 Lisboa, com a execução imediata da ordem de desocupação, nos termos do artigo 1012.º, n.º 1, alínea a), do CPC;</w:t>
            </w:r>
          </w:p>
        </w:tc>
      </w:tr>
      <w:tr>
        <w:tc>
          <w:tcPr/>
          <w:p>
            <w:pPr>
              <w:pStyle w:val="Compact"/>
            </w:pPr>
            <w:r>
              <w:t xml:space="preserve">3</w:t>
            </w:r>
          </w:p>
        </w:tc>
        <w:tc>
          <w:tcPr/>
          <w:p>
            <w:pPr>
              <w:pStyle w:val="Compact"/>
            </w:pPr>
            <w:r>
              <w:rPr>
                <w:b/>
                <w:bCs/>
              </w:rPr>
              <w:t xml:space="preserve">A condenação do réu ao pagamento</w:t>
            </w:r>
            <w:r>
              <w:t xml:space="preserve"> </w:t>
            </w:r>
            <w:r>
              <w:t xml:space="preserve">das rendas em dívida, totalizando</w:t>
            </w:r>
            <w:r>
              <w:t xml:space="preserve"> </w:t>
            </w:r>
            <w:r>
              <w:rPr>
                <w:b/>
                <w:bCs/>
              </w:rPr>
              <w:t xml:space="preserve">€ 20 000,00</w:t>
            </w:r>
            <w:r>
              <w:t xml:space="preserve">, acrescidas de juros de mora à taxa legal de 8% ao ano, a contar de 5 de agosto de 2023 até ao efetivo pagamento;</w:t>
            </w:r>
          </w:p>
        </w:tc>
      </w:tr>
      <w:tr>
        <w:tc>
          <w:tcPr/>
          <w:p>
            <w:pPr>
              <w:pStyle w:val="Compact"/>
            </w:pPr>
            <w:r>
              <w:t xml:space="preserve">4</w:t>
            </w:r>
          </w:p>
        </w:tc>
        <w:tc>
          <w:tcPr/>
          <w:p>
            <w:pPr>
              <w:pStyle w:val="Compact"/>
            </w:pPr>
            <w:r>
              <w:rPr>
                <w:b/>
                <w:bCs/>
              </w:rPr>
              <w:t xml:space="preserve">A condenação do réu ao pagamento</w:t>
            </w:r>
            <w:r>
              <w:t xml:space="preserve"> </w:t>
            </w:r>
            <w:r>
              <w:t xml:space="preserve">de</w:t>
            </w:r>
            <w:r>
              <w:t xml:space="preserve"> </w:t>
            </w:r>
            <w:r>
              <w:rPr>
                <w:b/>
                <w:bCs/>
              </w:rPr>
              <w:t xml:space="preserve">€ 7 500,00</w:t>
            </w:r>
            <w:r>
              <w:t xml:space="preserve"> </w:t>
            </w:r>
            <w:r>
              <w:t xml:space="preserve">a título de indemnização pelos custos das obras não autorizadas, bem como ao reembolso de eventuais danos materiais decorrentes das mesmas;</w:t>
            </w:r>
          </w:p>
        </w:tc>
      </w:tr>
      <w:tr>
        <w:tc>
          <w:tcPr/>
          <w:p>
            <w:pPr>
              <w:pStyle w:val="Compact"/>
            </w:pPr>
            <w:r>
              <w:t xml:space="preserve">5</w:t>
            </w:r>
          </w:p>
        </w:tc>
        <w:tc>
          <w:tcPr/>
          <w:p>
            <w:pPr>
              <w:pStyle w:val="Compact"/>
            </w:pPr>
            <w:r>
              <w:rPr>
                <w:b/>
                <w:bCs/>
              </w:rPr>
              <w:t xml:space="preserve">A condenação do réu ao pagamento</w:t>
            </w:r>
            <w:r>
              <w:t xml:space="preserve"> </w:t>
            </w:r>
            <w:r>
              <w:t xml:space="preserve">das custas processuais e dos honorários de advogado, fixados em</w:t>
            </w:r>
            <w:r>
              <w:t xml:space="preserve"> </w:t>
            </w:r>
            <w:r>
              <w:rPr>
                <w:b/>
                <w:bCs/>
              </w:rPr>
              <w:t xml:space="preserve">10%</w:t>
            </w:r>
            <w:r>
              <w:t xml:space="preserve"> </w:t>
            </w:r>
            <w:r>
              <w:t xml:space="preserve">do valor total da condenação, nos termos da Lei n.º 73/2013;</w:t>
            </w:r>
          </w:p>
        </w:tc>
      </w:tr>
      <w:tr>
        <w:tc>
          <w:tcPr/>
          <w:p>
            <w:pPr>
              <w:pStyle w:val="Compact"/>
            </w:pPr>
            <w:r>
              <w:t xml:space="preserve">6</w:t>
            </w:r>
          </w:p>
        </w:tc>
        <w:tc>
          <w:tcPr/>
          <w:p>
            <w:pPr>
              <w:pStyle w:val="Compact"/>
            </w:pPr>
            <w:r>
              <w:rPr>
                <w:b/>
                <w:bCs/>
              </w:rPr>
              <w:t xml:space="preserve">A produção de prova documental</w:t>
            </w:r>
            <w:r>
              <w:t xml:space="preserve"> </w:t>
            </w:r>
            <w:r>
              <w:t xml:space="preserve">(contrato de arrendamento, faturas das obras, notificações extrajudiciais, extratos bancários) e, se necessário, prova testemunhal;</w:t>
            </w:r>
          </w:p>
        </w:tc>
      </w:tr>
      <w:tr>
        <w:tc>
          <w:tcPr/>
          <w:p>
            <w:pPr>
              <w:pStyle w:val="Compact"/>
            </w:pPr>
            <w:r>
              <w:t xml:space="preserve">7</w:t>
            </w:r>
          </w:p>
        </w:tc>
        <w:tc>
          <w:tcPr/>
          <w:p>
            <w:pPr>
              <w:pStyle w:val="Compact"/>
            </w:pPr>
            <w:r>
              <w:rPr>
                <w:b/>
                <w:bCs/>
              </w:rPr>
              <w:t xml:space="preserve">A concessão de tutela de urgência</w:t>
            </w:r>
            <w:r>
              <w:t xml:space="preserve"> </w:t>
            </w:r>
            <w:r>
              <w:t xml:space="preserve">para a imediata suspensão da ocupação do imóvel, mediante a expedição de ordem de despejo com prazo de 15 dias para desocupação, sob pena de multa diária de</w:t>
            </w:r>
            <w:r>
              <w:t xml:space="preserve"> </w:t>
            </w:r>
            <w:r>
              <w:rPr>
                <w:b/>
                <w:bCs/>
              </w:rPr>
              <w:t xml:space="preserve">€ 200,00</w:t>
            </w:r>
            <w:r>
              <w:t xml:space="preserve">;</w:t>
            </w:r>
          </w:p>
        </w:tc>
      </w:tr>
      <w:tr>
        <w:tc>
          <w:tcPr/>
          <w:p>
            <w:pPr>
              <w:pStyle w:val="Compact"/>
            </w:pPr>
            <w:r>
              <w:t xml:space="preserve">8</w:t>
            </w:r>
          </w:p>
        </w:tc>
        <w:tc>
          <w:tcPr/>
          <w:p>
            <w:pPr>
              <w:pStyle w:val="Compact"/>
            </w:pPr>
            <w:r>
              <w:rPr>
                <w:b/>
                <w:bCs/>
              </w:rPr>
              <w:t xml:space="preserve">A intimação</w:t>
            </w:r>
            <w:r>
              <w:t xml:space="preserve"> </w:t>
            </w:r>
            <w:r>
              <w:t xml:space="preserve">do Ministério Público, caso entenda V. Exa. pertinente, nos termos do artigo 105.º, n.º 1, do CPC.</w:t>
            </w:r>
          </w:p>
        </w:tc>
      </w:tr>
    </w:tbl>
    <w:p>
      <w:r>
        <w:pict>
          <v:rect style="width:0;height:1.5pt" o:hralign="center" o:hrstd="t" o:hr="t"/>
        </w:pict>
      </w:r>
    </w:p>
    <w:bookmarkEnd w:id="12"/>
    <w:bookmarkStart w:id="13" w:name="iv-das-provas"/>
    <w:p>
      <w:pPr>
        <w:pStyle w:val="Heading3"/>
      </w:pPr>
      <w:r>
        <w:t xml:space="preserve">IV – Das Provas</w:t>
      </w:r>
    </w:p>
    <w:p>
      <w:pPr>
        <w:pStyle w:val="Compact"/>
        <w:numPr>
          <w:ilvl w:val="0"/>
          <w:numId w:val="1004"/>
        </w:numPr>
      </w:pPr>
      <w:r>
        <w:rPr>
          <w:b/>
          <w:bCs/>
        </w:rPr>
        <w:t xml:space="preserve">Documental:</w:t>
      </w:r>
    </w:p>
    <w:p>
      <w:pPr>
        <w:pStyle w:val="Compact"/>
        <w:numPr>
          <w:ilvl w:val="1"/>
          <w:numId w:val="1005"/>
        </w:numPr>
      </w:pPr>
      <w:r>
        <w:t xml:space="preserve">Contrato de arrendamento comercial n.º 2020/00123 (cópia autenticada);</w:t>
      </w:r>
      <w:r>
        <w:br/>
      </w:r>
    </w:p>
    <w:p>
      <w:pPr>
        <w:pStyle w:val="Compact"/>
        <w:numPr>
          <w:ilvl w:val="1"/>
          <w:numId w:val="1005"/>
        </w:numPr>
      </w:pPr>
      <w:r>
        <w:t xml:space="preserve">Faturas das obras realizadas (Construções Lisboa, Lda., NIF 504 987 321);</w:t>
      </w:r>
      <w:r>
        <w:br/>
      </w:r>
    </w:p>
    <w:p>
      <w:pPr>
        <w:pStyle w:val="Compact"/>
        <w:numPr>
          <w:ilvl w:val="1"/>
          <w:numId w:val="1005"/>
        </w:numPr>
      </w:pPr>
      <w:r>
        <w:t xml:space="preserve">Notificações extrajudiciais enviadas a 1.º e 10 de fevereiro de 2024;</w:t>
      </w:r>
      <w:r>
        <w:br/>
      </w:r>
    </w:p>
    <w:p>
      <w:pPr>
        <w:pStyle w:val="Compact"/>
        <w:numPr>
          <w:ilvl w:val="1"/>
          <w:numId w:val="1005"/>
        </w:numPr>
      </w:pPr>
      <w:r>
        <w:t xml:space="preserve">Extratos bancários que comprovam a ausência de pagamentos das rendas.</w:t>
      </w:r>
    </w:p>
    <w:p>
      <w:pPr>
        <w:pStyle w:val="Compact"/>
        <w:numPr>
          <w:ilvl w:val="0"/>
          <w:numId w:val="1004"/>
        </w:numPr>
      </w:pPr>
      <w:r>
        <w:rPr>
          <w:b/>
          <w:bCs/>
        </w:rPr>
        <w:t xml:space="preserve">Testemunhal:</w:t>
      </w:r>
    </w:p>
    <w:p>
      <w:pPr>
        <w:pStyle w:val="Compact"/>
        <w:numPr>
          <w:ilvl w:val="1"/>
          <w:numId w:val="1006"/>
        </w:numPr>
      </w:pPr>
      <w:r>
        <w:t xml:space="preserve">Declaração do Sr. Carlos Mendes, administrador do prédio, que testemunhará a data de início das obras não autorizadas e a permanência do réu no imóvel.</w:t>
      </w:r>
    </w:p>
    <w:p>
      <w:pPr>
        <w:pStyle w:val="Compact"/>
        <w:numPr>
          <w:ilvl w:val="0"/>
          <w:numId w:val="1004"/>
        </w:numPr>
      </w:pPr>
      <w:r>
        <w:rPr>
          <w:b/>
          <w:bCs/>
        </w:rPr>
        <w:t xml:space="preserve">Pericial:</w:t>
      </w:r>
    </w:p>
    <w:p>
      <w:pPr>
        <w:pStyle w:val="Compact"/>
        <w:numPr>
          <w:ilvl w:val="1"/>
          <w:numId w:val="1007"/>
        </w:numPr>
      </w:pPr>
      <w:r>
        <w:t xml:space="preserve">Caso V. Exa. entenda necessário, requer‑se a realização de perícia de avaliação dos danos causados pelas obras não autorizadas.</w:t>
      </w:r>
    </w:p>
    <w:p>
      <w:r>
        <w:pict>
          <v:rect style="width:0;height:1.5pt" o:hralign="center" o:hrstd="t" o:hr="t"/>
        </w:pict>
      </w:r>
    </w:p>
    <w:bookmarkEnd w:id="13"/>
    <w:bookmarkStart w:id="14" w:name="v-requerimentos-finais"/>
    <w:p>
      <w:pPr>
        <w:pStyle w:val="Heading3"/>
      </w:pPr>
      <w:r>
        <w:t xml:space="preserve">V – Requerimentos Finais</w:t>
      </w:r>
    </w:p>
    <w:p>
      <w:pPr>
        <w:pStyle w:val="FirstParagraph"/>
      </w:pPr>
      <w:r>
        <w:t xml:space="preserve">Por ser medida de justiça, requer‑se a V. Exa. que:</w:t>
      </w:r>
    </w:p>
    <w:p>
      <w:pPr>
        <w:pStyle w:val="Compact"/>
        <w:numPr>
          <w:ilvl w:val="0"/>
          <w:numId w:val="1008"/>
        </w:numPr>
      </w:pPr>
      <w:r>
        <w:t xml:space="preserve">Seja julgada procedente a presente ação, nos termos dos pedidos acima enumerados;</w:t>
      </w:r>
      <w:r>
        <w:br/>
      </w:r>
    </w:p>
    <w:p>
      <w:pPr>
        <w:pStyle w:val="Compact"/>
        <w:numPr>
          <w:ilvl w:val="0"/>
          <w:numId w:val="1008"/>
        </w:numPr>
      </w:pPr>
      <w:r>
        <w:t xml:space="preserve">Seja expedida a ordem de despejo definitivo, com a execução coerciva da desocupação;</w:t>
      </w:r>
      <w:r>
        <w:br/>
      </w:r>
    </w:p>
    <w:p>
      <w:pPr>
        <w:pStyle w:val="Compact"/>
        <w:numPr>
          <w:ilvl w:val="0"/>
          <w:numId w:val="1008"/>
        </w:numPr>
      </w:pPr>
      <w:r>
        <w:t xml:space="preserve">Seja o réu condenado ao pagamento integral das quantias devidas, com os juros, indemnizações, custas e honorários;</w:t>
      </w:r>
      <w:r>
        <w:br/>
      </w:r>
    </w:p>
    <w:p>
      <w:pPr>
        <w:pStyle w:val="Compact"/>
        <w:numPr>
          <w:ilvl w:val="0"/>
          <w:numId w:val="1008"/>
        </w:numPr>
      </w:pPr>
      <w:r>
        <w:t xml:space="preserve">Seja deferida a tutela de urgência, nos termos do ponto 7 da presente petição.</w:t>
      </w:r>
    </w:p>
    <w:p>
      <w:pPr>
        <w:pStyle w:val="FirstParagraph"/>
      </w:pPr>
      <w:r>
        <w:t xml:space="preserve">Nestes termos, pede deferimento.</w:t>
      </w:r>
    </w:p>
    <w:p>
      <w:r>
        <w:pict>
          <v:rect style="width:0;height:1.5pt" o:hralign="center" o:hrstd="t" o:hr="t"/>
        </w:pict>
      </w:r>
    </w:p>
    <w:p>
      <w:pPr>
        <w:pStyle w:val="FirstParagraph"/>
      </w:pPr>
      <w:r>
        <w:rPr>
          <w:b/>
          <w:bCs/>
        </w:rPr>
        <w:t xml:space="preserve">Lisboa, 15 de março de 2024</w:t>
      </w:r>
    </w:p>
    <w:tbl>
      <w:tblPr>
        <w:tblStyle w:val="Table"/>
        <w:tblW w:type="auto" w:w="0"/>
        <w:tblLook w:firstRow="0" w:lastRow="0" w:firstColumn="0" w:lastColumn="0" w:noHBand="0" w:noVBand="0" w:val="0000"/>
      </w:tblPr>
      <w:tblGrid>
        <w:gridCol w:w="3960"/>
        <w:gridCol w:w="3960"/>
      </w:tblGrid>
      <w:tr>
        <w:tc>
          <w:tcPr/>
          <w:p>
            <w:pPr>
              <w:pStyle w:val="Compact"/>
            </w:pPr>
            <w:r>
              <w:rPr>
                <w:b/>
                <w:bCs/>
              </w:rPr>
              <w:t xml:space="preserve">Dr. Ana Martins</w:t>
            </w:r>
          </w:p>
        </w:tc>
        <w:tc>
          <w:tcPr/>
          <w:p>
            <w:pPr>
              <w:pStyle w:val="Compact"/>
            </w:pPr>
            <w:r>
              <w:rPr>
                <w:b/>
                <w:bCs/>
              </w:rPr>
              <w:t xml:space="preserve">Dr. Luís Pereira</w:t>
            </w:r>
          </w:p>
        </w:tc>
      </w:tr>
      <w:tr>
        <w:tc>
          <w:tcPr/>
          <w:p>
            <w:pPr>
              <w:pStyle w:val="Compact"/>
            </w:pPr>
            <w:r>
              <w:t xml:space="preserve">OAB/LS 12345</w:t>
            </w:r>
          </w:p>
        </w:tc>
        <w:tc>
          <w:tcPr/>
          <w:p>
            <w:pPr>
              <w:pStyle w:val="Compact"/>
            </w:pPr>
            <w:r>
              <w:t xml:space="preserve">OAB/LS 67890</w:t>
            </w:r>
          </w:p>
        </w:tc>
      </w:tr>
      <w:tr>
        <w:tc>
          <w:tcPr/>
          <w:p>
            <w:pPr>
              <w:pStyle w:val="Compact"/>
            </w:pPr>
            <w:r>
              <w:rPr>
                <w:b/>
                <w:bCs/>
              </w:rPr>
              <w:t xml:space="preserve">Empresa de Arrendamento Comercial, Lda.</w:t>
            </w:r>
          </w:p>
        </w:tc>
        <w:tc>
          <w:tcPr/>
          <w:p>
            <w:pPr>
              <w:pStyle w:val="Compact"/>
            </w:pPr>
          </w:p>
        </w:tc>
      </w:tr>
    </w:tbl>
    <w:p>
      <w:r>
        <w:pict>
          <v:rect style="width:0;height:1.5pt" o:hralign="center" o:hrstd="t" o:hr="t"/>
        </w:pict>
      </w:r>
    </w:p>
    <w:p>
      <w:pPr>
        <w:pStyle w:val="FirstParagraph"/>
      </w:pPr>
      <w:r>
        <w:rPr>
          <w:b/>
          <w:bCs/>
        </w:rPr>
        <w:t xml:space="preserve">Anexos:</w:t>
      </w:r>
      <w:r>
        <w:br/>
      </w:r>
      <w:r>
        <w:t xml:space="preserve">1. Contrato de arrendamento comercial (cópia autenticada);</w:t>
      </w:r>
      <w:r>
        <w:br/>
      </w:r>
      <w:r>
        <w:t xml:space="preserve">2. Faturas das obras (cópia);</w:t>
      </w:r>
      <w:r>
        <w:br/>
      </w:r>
      <w:r>
        <w:t xml:space="preserve">3. Notificações extrajudiciais (cópia);</w:t>
      </w:r>
      <w:r>
        <w:br/>
      </w:r>
      <w:r>
        <w:t xml:space="preserve">4. Extratos bancários (cópia).</w:t>
      </w:r>
    </w:p>
    <w:bookmarkEnd w:id="14"/>
    <w:bookmarkEnd w:id="1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3">
    <w:nsid w:val="00A99413"/>
    <w:multiLevelType w:val="multilevel"/>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2026-02-22T19:19:51Z</dcterms:created>
  <dcterms:modified xsi:type="dcterms:W3CDTF">2026-02-22T19:19:51Z</dcterms:modified>
</cp:coreProperties>
</file>

<file path=docProps/custom.xml><?xml version="1.0" encoding="utf-8"?>
<Properties xmlns="http://schemas.openxmlformats.org/officeDocument/2006/custom-properties" xmlns:vt="http://schemas.openxmlformats.org/officeDocument/2006/docPropsVTypes"/>
</file>